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186"/>
        <w:tblW w:w="9885" w:type="dxa"/>
        <w:tblLook w:val="04A0" w:firstRow="1" w:lastRow="0" w:firstColumn="1" w:lastColumn="0" w:noHBand="0" w:noVBand="1"/>
      </w:tblPr>
      <w:tblGrid>
        <w:gridCol w:w="1638"/>
        <w:gridCol w:w="8247"/>
      </w:tblGrid>
      <w:tr w:rsidR="00C23BAE" w:rsidTr="00C23BAE">
        <w:trPr>
          <w:trHeight w:val="115"/>
        </w:trPr>
        <w:tc>
          <w:tcPr>
            <w:tcW w:w="9885" w:type="dxa"/>
            <w:gridSpan w:val="2"/>
            <w:tcBorders>
              <w:top w:val="single" w:sz="4" w:space="0" w:color="auto"/>
              <w:left w:val="single" w:sz="4" w:space="0" w:color="auto"/>
              <w:bottom w:val="single" w:sz="4" w:space="0" w:color="auto"/>
              <w:right w:val="single" w:sz="4" w:space="0" w:color="auto"/>
            </w:tcBorders>
            <w:vAlign w:val="center"/>
          </w:tcPr>
          <w:p w:rsidR="00F06ADD" w:rsidRDefault="00C23BAE" w:rsidP="00F06ADD">
            <w:pPr>
              <w:jc w:val="center"/>
              <w:rPr>
                <w:b/>
                <w:sz w:val="28"/>
                <w:szCs w:val="28"/>
              </w:rPr>
            </w:pPr>
            <w:r>
              <w:rPr>
                <w:b/>
                <w:noProof/>
                <w:sz w:val="28"/>
                <w:szCs w:val="28"/>
              </w:rPr>
              <w:drawing>
                <wp:inline distT="0" distB="0" distL="0" distR="0" wp14:anchorId="3FC4B61B" wp14:editId="788AFC14">
                  <wp:extent cx="933450" cy="377711"/>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a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1628" cy="381020"/>
                          </a:xfrm>
                          <a:prstGeom prst="rect">
                            <a:avLst/>
                          </a:prstGeom>
                        </pic:spPr>
                      </pic:pic>
                    </a:graphicData>
                  </a:graphic>
                </wp:inline>
              </w:drawing>
            </w:r>
            <w:r w:rsidR="00F06ADD">
              <w:rPr>
                <w:b/>
                <w:sz w:val="28"/>
                <w:szCs w:val="28"/>
              </w:rPr>
              <w:t xml:space="preserve">     </w:t>
            </w:r>
            <w:r w:rsidRPr="00044D60">
              <w:rPr>
                <w:b/>
                <w:sz w:val="28"/>
                <w:szCs w:val="28"/>
              </w:rPr>
              <w:t>Arts Education Partnership; State Policy Symposium</w:t>
            </w:r>
            <w:r w:rsidR="00F06ADD">
              <w:rPr>
                <w:b/>
                <w:sz w:val="28"/>
                <w:szCs w:val="28"/>
              </w:rPr>
              <w:t xml:space="preserve">. </w:t>
            </w:r>
          </w:p>
          <w:p w:rsidR="00C23BAE" w:rsidRPr="00F06ADD" w:rsidRDefault="00F06ADD" w:rsidP="00F06ADD">
            <w:pPr>
              <w:jc w:val="center"/>
              <w:rPr>
                <w:b/>
                <w:sz w:val="28"/>
                <w:szCs w:val="28"/>
              </w:rPr>
            </w:pPr>
            <w:r>
              <w:rPr>
                <w:b/>
                <w:sz w:val="28"/>
                <w:szCs w:val="28"/>
              </w:rPr>
              <w:t xml:space="preserve">Delaware </w:t>
            </w:r>
            <w:r w:rsidR="00C23BAE" w:rsidRPr="00044D60">
              <w:rPr>
                <w:b/>
                <w:sz w:val="28"/>
                <w:szCs w:val="28"/>
              </w:rPr>
              <w:t>Arts Alliance Report</w:t>
            </w:r>
          </w:p>
        </w:tc>
      </w:tr>
      <w:tr w:rsidR="00C23BAE" w:rsidTr="00C23BAE">
        <w:trPr>
          <w:trHeight w:val="49"/>
        </w:trPr>
        <w:tc>
          <w:tcPr>
            <w:tcW w:w="1638" w:type="dxa"/>
            <w:tcBorders>
              <w:top w:val="single" w:sz="4" w:space="0" w:color="auto"/>
              <w:left w:val="single" w:sz="4" w:space="0" w:color="auto"/>
              <w:bottom w:val="single" w:sz="4" w:space="0" w:color="auto"/>
              <w:right w:val="single" w:sz="4" w:space="0" w:color="auto"/>
            </w:tcBorders>
          </w:tcPr>
          <w:p w:rsidR="00C23BAE" w:rsidRPr="00044D60" w:rsidRDefault="00C23BAE" w:rsidP="004B0A31">
            <w:pPr>
              <w:rPr>
                <w:sz w:val="24"/>
                <w:szCs w:val="24"/>
              </w:rPr>
            </w:pPr>
            <w:r w:rsidRPr="00044D60">
              <w:rPr>
                <w:sz w:val="24"/>
                <w:szCs w:val="24"/>
              </w:rPr>
              <w:t xml:space="preserve">Location &amp; </w:t>
            </w:r>
            <w:r w:rsidR="004B0A31">
              <w:rPr>
                <w:sz w:val="24"/>
                <w:szCs w:val="24"/>
              </w:rPr>
              <w:t>date</w:t>
            </w:r>
            <w:r w:rsidRPr="00044D60">
              <w:rPr>
                <w:sz w:val="24"/>
                <w:szCs w:val="24"/>
              </w:rPr>
              <w:t>:</w:t>
            </w:r>
          </w:p>
        </w:tc>
        <w:tc>
          <w:tcPr>
            <w:tcW w:w="8247" w:type="dxa"/>
            <w:tcBorders>
              <w:top w:val="single" w:sz="4" w:space="0" w:color="auto"/>
              <w:left w:val="single" w:sz="4" w:space="0" w:color="auto"/>
              <w:bottom w:val="single" w:sz="4" w:space="0" w:color="auto"/>
              <w:right w:val="single" w:sz="4" w:space="0" w:color="auto"/>
            </w:tcBorders>
          </w:tcPr>
          <w:p w:rsidR="00C23BAE" w:rsidRPr="00044D60" w:rsidRDefault="00C23BAE" w:rsidP="00C23BAE">
            <w:pPr>
              <w:rPr>
                <w:sz w:val="24"/>
                <w:szCs w:val="24"/>
              </w:rPr>
            </w:pPr>
            <w:r w:rsidRPr="00044D60">
              <w:rPr>
                <w:sz w:val="24"/>
                <w:szCs w:val="24"/>
              </w:rPr>
              <w:t>Capital Hilton, Washington, D.C., Saturday March 21, 2015</w:t>
            </w:r>
          </w:p>
        </w:tc>
      </w:tr>
      <w:tr w:rsidR="00C23BAE" w:rsidTr="00C23BAE">
        <w:trPr>
          <w:trHeight w:val="450"/>
        </w:trPr>
        <w:tc>
          <w:tcPr>
            <w:tcW w:w="1638" w:type="dxa"/>
            <w:tcBorders>
              <w:top w:val="single" w:sz="4" w:space="0" w:color="auto"/>
              <w:left w:val="single" w:sz="4" w:space="0" w:color="auto"/>
              <w:bottom w:val="single" w:sz="4" w:space="0" w:color="auto"/>
              <w:right w:val="single" w:sz="4" w:space="0" w:color="auto"/>
            </w:tcBorders>
          </w:tcPr>
          <w:p w:rsidR="00C23BAE" w:rsidRPr="00044D60" w:rsidRDefault="00C23BAE" w:rsidP="004B0A31">
            <w:pPr>
              <w:rPr>
                <w:sz w:val="24"/>
                <w:szCs w:val="24"/>
              </w:rPr>
            </w:pPr>
            <w:r w:rsidRPr="00044D60">
              <w:rPr>
                <w:sz w:val="24"/>
                <w:szCs w:val="24"/>
              </w:rPr>
              <w:t>Who convene</w:t>
            </w:r>
            <w:r w:rsidR="004B0A31">
              <w:rPr>
                <w:sz w:val="24"/>
                <w:szCs w:val="24"/>
              </w:rPr>
              <w:t>d</w:t>
            </w:r>
            <w:r w:rsidRPr="00044D60">
              <w:rPr>
                <w:sz w:val="24"/>
                <w:szCs w:val="24"/>
              </w:rPr>
              <w:t>?</w:t>
            </w:r>
          </w:p>
        </w:tc>
        <w:tc>
          <w:tcPr>
            <w:tcW w:w="8247" w:type="dxa"/>
            <w:tcBorders>
              <w:top w:val="single" w:sz="4" w:space="0" w:color="auto"/>
              <w:left w:val="single" w:sz="4" w:space="0" w:color="auto"/>
              <w:bottom w:val="single" w:sz="4" w:space="0" w:color="auto"/>
              <w:right w:val="single" w:sz="4" w:space="0" w:color="auto"/>
            </w:tcBorders>
          </w:tcPr>
          <w:p w:rsidR="00C23BAE" w:rsidRDefault="00C23BAE" w:rsidP="00C23BAE">
            <w:pPr>
              <w:rPr>
                <w:sz w:val="24"/>
                <w:szCs w:val="24"/>
              </w:rPr>
            </w:pPr>
            <w:r w:rsidRPr="00044D60">
              <w:rPr>
                <w:sz w:val="24"/>
                <w:szCs w:val="24"/>
              </w:rPr>
              <w:t xml:space="preserve">Arts Education Partnership (AEP), a part of Council of Chief State School Officers </w:t>
            </w:r>
            <w:r>
              <w:rPr>
                <w:sz w:val="24"/>
                <w:szCs w:val="24"/>
              </w:rPr>
              <w:t>(CCSSO).</w:t>
            </w:r>
          </w:p>
          <w:p w:rsidR="00C23BAE" w:rsidRDefault="00C23BAE" w:rsidP="00C23BAE">
            <w:pPr>
              <w:rPr>
                <w:sz w:val="24"/>
                <w:szCs w:val="24"/>
              </w:rPr>
            </w:pPr>
            <w:r>
              <w:rPr>
                <w:sz w:val="24"/>
                <w:szCs w:val="24"/>
              </w:rPr>
              <w:t xml:space="preserve">AEP is a national network of organizations dedicated to advancing arts in education through research, policy &amp; practice. It cooperates with the National Assembly of State Arts Agencies (NASAA) and in agreement with the National Endowment for the Arts (NEA) and the U.S. Department of Education. </w:t>
            </w:r>
          </w:p>
          <w:p w:rsidR="00C23BAE" w:rsidRPr="00044D60" w:rsidRDefault="00C23BAE" w:rsidP="00C23BAE">
            <w:pPr>
              <w:rPr>
                <w:sz w:val="24"/>
                <w:szCs w:val="24"/>
              </w:rPr>
            </w:pPr>
            <w:r>
              <w:rPr>
                <w:sz w:val="24"/>
                <w:szCs w:val="24"/>
              </w:rPr>
              <w:t xml:space="preserve">The event is sponsored by Americans for the Arts (AFTA) &amp; The Kennedy Center. </w:t>
            </w:r>
          </w:p>
        </w:tc>
      </w:tr>
      <w:tr w:rsidR="00C23BAE" w:rsidTr="00C23BAE">
        <w:trPr>
          <w:trHeight w:val="49"/>
        </w:trPr>
        <w:tc>
          <w:tcPr>
            <w:tcW w:w="1638" w:type="dxa"/>
            <w:tcBorders>
              <w:top w:val="single" w:sz="4" w:space="0" w:color="auto"/>
              <w:left w:val="single" w:sz="4" w:space="0" w:color="auto"/>
              <w:bottom w:val="single" w:sz="4" w:space="0" w:color="auto"/>
              <w:right w:val="single" w:sz="4" w:space="0" w:color="auto"/>
            </w:tcBorders>
          </w:tcPr>
          <w:p w:rsidR="00C23BAE" w:rsidRPr="00044D60" w:rsidRDefault="00C23BAE" w:rsidP="00C23BAE">
            <w:pPr>
              <w:rPr>
                <w:sz w:val="24"/>
                <w:szCs w:val="24"/>
              </w:rPr>
            </w:pPr>
            <w:r w:rsidRPr="00044D60">
              <w:rPr>
                <w:sz w:val="24"/>
                <w:szCs w:val="24"/>
              </w:rPr>
              <w:t>Objective</w:t>
            </w:r>
          </w:p>
        </w:tc>
        <w:tc>
          <w:tcPr>
            <w:tcW w:w="8247" w:type="dxa"/>
            <w:tcBorders>
              <w:top w:val="single" w:sz="4" w:space="0" w:color="auto"/>
              <w:left w:val="single" w:sz="4" w:space="0" w:color="auto"/>
              <w:bottom w:val="single" w:sz="4" w:space="0" w:color="auto"/>
              <w:right w:val="single" w:sz="4" w:space="0" w:color="auto"/>
            </w:tcBorders>
          </w:tcPr>
          <w:p w:rsidR="00C23BAE" w:rsidRPr="00044D60" w:rsidRDefault="00C23BAE" w:rsidP="004B0A31">
            <w:pPr>
              <w:rPr>
                <w:sz w:val="24"/>
                <w:szCs w:val="24"/>
              </w:rPr>
            </w:pPr>
            <w:r>
              <w:rPr>
                <w:sz w:val="24"/>
                <w:szCs w:val="24"/>
              </w:rPr>
              <w:t>AEP intends to instill high quality education in and through the arts.</w:t>
            </w:r>
          </w:p>
        </w:tc>
      </w:tr>
      <w:tr w:rsidR="00C23BAE" w:rsidTr="00C23BAE">
        <w:trPr>
          <w:trHeight w:val="100"/>
        </w:trPr>
        <w:tc>
          <w:tcPr>
            <w:tcW w:w="1638" w:type="dxa"/>
            <w:tcBorders>
              <w:top w:val="single" w:sz="4" w:space="0" w:color="auto"/>
              <w:left w:val="single" w:sz="4" w:space="0" w:color="auto"/>
              <w:bottom w:val="single" w:sz="4" w:space="0" w:color="auto"/>
              <w:right w:val="single" w:sz="4" w:space="0" w:color="auto"/>
            </w:tcBorders>
          </w:tcPr>
          <w:p w:rsidR="00C23BAE" w:rsidRPr="00044D60" w:rsidRDefault="00C23BAE" w:rsidP="00C23BAE">
            <w:pPr>
              <w:rPr>
                <w:sz w:val="24"/>
                <w:szCs w:val="24"/>
              </w:rPr>
            </w:pPr>
            <w:r w:rsidRPr="00044D60">
              <w:rPr>
                <w:sz w:val="24"/>
                <w:szCs w:val="24"/>
              </w:rPr>
              <w:t>Participants</w:t>
            </w:r>
          </w:p>
        </w:tc>
        <w:tc>
          <w:tcPr>
            <w:tcW w:w="8247" w:type="dxa"/>
            <w:tcBorders>
              <w:top w:val="single" w:sz="4" w:space="0" w:color="auto"/>
              <w:left w:val="single" w:sz="4" w:space="0" w:color="auto"/>
              <w:bottom w:val="single" w:sz="4" w:space="0" w:color="auto"/>
              <w:right w:val="single" w:sz="4" w:space="0" w:color="auto"/>
            </w:tcBorders>
          </w:tcPr>
          <w:p w:rsidR="00C23BAE" w:rsidRDefault="00C23BAE" w:rsidP="00C23BAE">
            <w:pPr>
              <w:rPr>
                <w:sz w:val="24"/>
                <w:szCs w:val="24"/>
              </w:rPr>
            </w:pPr>
            <w:r>
              <w:rPr>
                <w:sz w:val="24"/>
                <w:szCs w:val="24"/>
              </w:rPr>
              <w:t>150+ arts education advocates</w:t>
            </w:r>
            <w:r w:rsidR="004B0A31">
              <w:rPr>
                <w:sz w:val="24"/>
                <w:szCs w:val="24"/>
              </w:rPr>
              <w:t xml:space="preserve"> from across the nation</w:t>
            </w:r>
            <w:r>
              <w:rPr>
                <w:sz w:val="24"/>
                <w:szCs w:val="24"/>
              </w:rPr>
              <w:t xml:space="preserve">. </w:t>
            </w:r>
          </w:p>
          <w:p w:rsidR="00C23BAE" w:rsidRPr="00044D60" w:rsidRDefault="00C23BAE" w:rsidP="004B0A31">
            <w:pPr>
              <w:rPr>
                <w:sz w:val="24"/>
                <w:szCs w:val="24"/>
              </w:rPr>
            </w:pPr>
            <w:r>
              <w:rPr>
                <w:sz w:val="24"/>
                <w:szCs w:val="24"/>
              </w:rPr>
              <w:t xml:space="preserve">DAA </w:t>
            </w:r>
            <w:r w:rsidR="004B0A31">
              <w:rPr>
                <w:sz w:val="24"/>
                <w:szCs w:val="24"/>
              </w:rPr>
              <w:t>tweeted</w:t>
            </w:r>
            <w:r>
              <w:rPr>
                <w:sz w:val="24"/>
                <w:szCs w:val="24"/>
              </w:rPr>
              <w:t xml:space="preserve"> from the location with #aepsymp</w:t>
            </w:r>
          </w:p>
        </w:tc>
      </w:tr>
      <w:tr w:rsidR="00C23BAE" w:rsidTr="00C23BAE">
        <w:trPr>
          <w:trHeight w:val="1383"/>
        </w:trPr>
        <w:tc>
          <w:tcPr>
            <w:tcW w:w="1638" w:type="dxa"/>
            <w:tcBorders>
              <w:top w:val="single" w:sz="4" w:space="0" w:color="auto"/>
              <w:left w:val="single" w:sz="4" w:space="0" w:color="auto"/>
              <w:bottom w:val="single" w:sz="4" w:space="0" w:color="auto"/>
              <w:right w:val="single" w:sz="4" w:space="0" w:color="auto"/>
            </w:tcBorders>
          </w:tcPr>
          <w:p w:rsidR="00C23BAE" w:rsidRPr="00044D60" w:rsidRDefault="00C23BAE" w:rsidP="00C23BAE">
            <w:pPr>
              <w:rPr>
                <w:sz w:val="24"/>
                <w:szCs w:val="24"/>
              </w:rPr>
            </w:pPr>
            <w:r w:rsidRPr="00044D60">
              <w:rPr>
                <w:sz w:val="24"/>
                <w:szCs w:val="24"/>
              </w:rPr>
              <w:t>Topics addressed</w:t>
            </w:r>
          </w:p>
        </w:tc>
        <w:tc>
          <w:tcPr>
            <w:tcW w:w="8247" w:type="dxa"/>
            <w:tcBorders>
              <w:top w:val="single" w:sz="4" w:space="0" w:color="auto"/>
              <w:left w:val="single" w:sz="4" w:space="0" w:color="auto"/>
              <w:bottom w:val="single" w:sz="4" w:space="0" w:color="auto"/>
              <w:right w:val="single" w:sz="4" w:space="0" w:color="auto"/>
            </w:tcBorders>
          </w:tcPr>
          <w:p w:rsidR="00C23BAE" w:rsidRDefault="00C23BAE" w:rsidP="00C23BAE">
            <w:pPr>
              <w:rPr>
                <w:sz w:val="24"/>
                <w:szCs w:val="24"/>
              </w:rPr>
            </w:pPr>
            <w:r>
              <w:rPr>
                <w:sz w:val="24"/>
                <w:szCs w:val="24"/>
              </w:rPr>
              <w:t>Agenda covered the following topics:</w:t>
            </w:r>
          </w:p>
          <w:p w:rsidR="00C23BAE" w:rsidRDefault="00C23BAE" w:rsidP="00C23BAE">
            <w:pPr>
              <w:pStyle w:val="ListParagraph"/>
              <w:numPr>
                <w:ilvl w:val="0"/>
                <w:numId w:val="1"/>
              </w:numPr>
              <w:ind w:left="405"/>
              <w:rPr>
                <w:sz w:val="24"/>
                <w:szCs w:val="24"/>
              </w:rPr>
            </w:pPr>
            <w:r>
              <w:rPr>
                <w:sz w:val="24"/>
                <w:szCs w:val="24"/>
              </w:rPr>
              <w:t xml:space="preserve">Federal education priorities and how arts and education leaders are prepared to respond. </w:t>
            </w:r>
          </w:p>
          <w:p w:rsidR="00C23BAE" w:rsidRDefault="00C23BAE" w:rsidP="00C23BAE">
            <w:pPr>
              <w:pStyle w:val="ListParagraph"/>
              <w:ind w:left="405"/>
              <w:rPr>
                <w:sz w:val="24"/>
                <w:szCs w:val="24"/>
              </w:rPr>
            </w:pPr>
            <w:r>
              <w:rPr>
                <w:sz w:val="24"/>
                <w:szCs w:val="24"/>
              </w:rPr>
              <w:t>Main message: the Elementary and Secondary Education Act (ESEA) is long overdue. Need to continue pushing its authorization.</w:t>
            </w:r>
          </w:p>
          <w:p w:rsidR="00C23BAE" w:rsidRPr="00541B6E" w:rsidRDefault="00C23BAE" w:rsidP="00C23BAE">
            <w:pPr>
              <w:pStyle w:val="ListParagraph"/>
              <w:numPr>
                <w:ilvl w:val="0"/>
                <w:numId w:val="1"/>
              </w:numPr>
              <w:ind w:left="405"/>
              <w:rPr>
                <w:sz w:val="24"/>
                <w:szCs w:val="24"/>
              </w:rPr>
            </w:pPr>
            <w:r>
              <w:rPr>
                <w:sz w:val="24"/>
                <w:szCs w:val="24"/>
              </w:rPr>
              <w:t xml:space="preserve">State efforts to prepare all students to be ready for college, careers, and citizenship &amp; pathways for creative careers. </w:t>
            </w:r>
          </w:p>
          <w:p w:rsidR="00C23BAE" w:rsidRPr="00B02993" w:rsidRDefault="00C23BAE" w:rsidP="00C23BAE">
            <w:pPr>
              <w:pStyle w:val="ListParagraph"/>
              <w:ind w:left="405"/>
              <w:rPr>
                <w:sz w:val="20"/>
                <w:szCs w:val="20"/>
              </w:rPr>
            </w:pPr>
            <w:r w:rsidRPr="00B02993">
              <w:rPr>
                <w:i/>
                <w:sz w:val="20"/>
                <w:szCs w:val="20"/>
              </w:rPr>
              <w:t>Note: Lillian Lowery, former Secretary of the Delaware Department of Education</w:t>
            </w:r>
            <w:r w:rsidR="004B0A31">
              <w:rPr>
                <w:i/>
                <w:sz w:val="20"/>
                <w:szCs w:val="20"/>
              </w:rPr>
              <w:t>,</w:t>
            </w:r>
            <w:r w:rsidRPr="00B02993">
              <w:rPr>
                <w:i/>
                <w:sz w:val="20"/>
                <w:szCs w:val="20"/>
              </w:rPr>
              <w:t xml:space="preserve"> participated in this panel now as Superintend</w:t>
            </w:r>
            <w:r w:rsidR="004B0A31">
              <w:rPr>
                <w:i/>
                <w:sz w:val="20"/>
                <w:szCs w:val="20"/>
              </w:rPr>
              <w:t>ent</w:t>
            </w:r>
            <w:r w:rsidRPr="00B02993">
              <w:rPr>
                <w:i/>
                <w:sz w:val="20"/>
                <w:szCs w:val="20"/>
              </w:rPr>
              <w:t xml:space="preserve"> of School</w:t>
            </w:r>
            <w:r w:rsidR="004B0A31">
              <w:rPr>
                <w:i/>
                <w:sz w:val="20"/>
                <w:szCs w:val="20"/>
              </w:rPr>
              <w:t>s</w:t>
            </w:r>
            <w:r w:rsidRPr="00B02993">
              <w:rPr>
                <w:i/>
                <w:sz w:val="20"/>
                <w:szCs w:val="20"/>
              </w:rPr>
              <w:t xml:space="preserve">, Maryland Department of Education. </w:t>
            </w:r>
          </w:p>
          <w:p w:rsidR="00C23BAE" w:rsidRDefault="00C23BAE" w:rsidP="00C23BAE">
            <w:pPr>
              <w:pStyle w:val="ListParagraph"/>
              <w:ind w:left="405"/>
              <w:rPr>
                <w:sz w:val="24"/>
                <w:szCs w:val="24"/>
              </w:rPr>
            </w:pPr>
            <w:r>
              <w:rPr>
                <w:sz w:val="24"/>
                <w:szCs w:val="24"/>
              </w:rPr>
              <w:t xml:space="preserve">Main message: the arts open up possibilities for career advancement. There is </w:t>
            </w:r>
            <w:r w:rsidR="004B0A31">
              <w:rPr>
                <w:sz w:val="24"/>
                <w:szCs w:val="24"/>
              </w:rPr>
              <w:t xml:space="preserve">a </w:t>
            </w:r>
            <w:r>
              <w:rPr>
                <w:sz w:val="24"/>
                <w:szCs w:val="24"/>
              </w:rPr>
              <w:t>need for clear “actionable data” on the arts education front. Questions to address include: What are the high quality creative careers? How can state and local arts education leaders form partnerships with the employer community to support creative careers? What are some of the policies, programs, and incentives that connect students to creative careers?</w:t>
            </w:r>
          </w:p>
          <w:p w:rsidR="00C23BAE" w:rsidRDefault="00CC6DE0" w:rsidP="00C23BAE">
            <w:pPr>
              <w:pStyle w:val="ListParagraph"/>
              <w:numPr>
                <w:ilvl w:val="0"/>
                <w:numId w:val="1"/>
              </w:numPr>
              <w:ind w:left="405"/>
              <w:rPr>
                <w:sz w:val="24"/>
                <w:szCs w:val="24"/>
              </w:rPr>
            </w:pPr>
            <w:r>
              <w:rPr>
                <w:sz w:val="24"/>
                <w:szCs w:val="24"/>
              </w:rPr>
              <w:t>Briefing on new federal r</w:t>
            </w:r>
            <w:r w:rsidR="00C23BAE">
              <w:rPr>
                <w:sz w:val="24"/>
                <w:szCs w:val="24"/>
              </w:rPr>
              <w:t>esearch on the Arts in Education. Recent data provided by NEA’s Office of Research &amp; Analysis.</w:t>
            </w:r>
          </w:p>
          <w:p w:rsidR="00C23BAE" w:rsidRDefault="00C23BAE" w:rsidP="00C23BAE">
            <w:pPr>
              <w:pStyle w:val="ListParagraph"/>
              <w:numPr>
                <w:ilvl w:val="0"/>
                <w:numId w:val="1"/>
              </w:numPr>
              <w:ind w:left="405"/>
              <w:rPr>
                <w:sz w:val="24"/>
                <w:szCs w:val="24"/>
              </w:rPr>
            </w:pPr>
            <w:r>
              <w:rPr>
                <w:sz w:val="24"/>
                <w:szCs w:val="24"/>
              </w:rPr>
              <w:t>Linking state and local efforts for expanded access to quality arts education</w:t>
            </w:r>
          </w:p>
          <w:p w:rsidR="00C23BAE" w:rsidRPr="00541B6E" w:rsidRDefault="00C23BAE" w:rsidP="00CC6DE0">
            <w:pPr>
              <w:pStyle w:val="ListParagraph"/>
              <w:ind w:left="405"/>
              <w:rPr>
                <w:sz w:val="24"/>
                <w:szCs w:val="24"/>
              </w:rPr>
            </w:pPr>
            <w:r>
              <w:rPr>
                <w:sz w:val="24"/>
                <w:szCs w:val="24"/>
              </w:rPr>
              <w:t>Main message: how to select pertinent partners in each state to be effective when</w:t>
            </w:r>
            <w:r w:rsidR="00CC6DE0">
              <w:rPr>
                <w:sz w:val="24"/>
                <w:szCs w:val="24"/>
              </w:rPr>
              <w:t xml:space="preserve"> </w:t>
            </w:r>
            <w:r>
              <w:rPr>
                <w:sz w:val="24"/>
                <w:szCs w:val="24"/>
              </w:rPr>
              <w:t xml:space="preserve">resources are </w:t>
            </w:r>
            <w:r w:rsidR="00CC6DE0">
              <w:rPr>
                <w:sz w:val="24"/>
                <w:szCs w:val="24"/>
              </w:rPr>
              <w:t>limited</w:t>
            </w:r>
            <w:r>
              <w:rPr>
                <w:sz w:val="24"/>
                <w:szCs w:val="24"/>
              </w:rPr>
              <w:t xml:space="preserve">? </w:t>
            </w:r>
            <w:r w:rsidRPr="00897673">
              <w:rPr>
                <w:b/>
                <w:sz w:val="24"/>
                <w:szCs w:val="24"/>
              </w:rPr>
              <w:t>“Power Mapping</w:t>
            </w:r>
            <w:r>
              <w:rPr>
                <w:sz w:val="24"/>
                <w:szCs w:val="24"/>
              </w:rPr>
              <w:t>” was suggested as a tool to select key education operators. Worth evaluating</w:t>
            </w:r>
            <w:r w:rsidR="00CC6DE0">
              <w:rPr>
                <w:sz w:val="24"/>
                <w:szCs w:val="24"/>
              </w:rPr>
              <w:t>:</w:t>
            </w:r>
            <w:r>
              <w:rPr>
                <w:sz w:val="24"/>
                <w:szCs w:val="24"/>
              </w:rPr>
              <w:t xml:space="preserve"> Brooking</w:t>
            </w:r>
            <w:r w:rsidR="00CC6DE0">
              <w:rPr>
                <w:sz w:val="24"/>
                <w:szCs w:val="24"/>
              </w:rPr>
              <w:t>s</w:t>
            </w:r>
            <w:r>
              <w:rPr>
                <w:sz w:val="24"/>
                <w:szCs w:val="24"/>
              </w:rPr>
              <w:t xml:space="preserve"> Institution’s March 2015 </w:t>
            </w:r>
            <w:r w:rsidRPr="00897673">
              <w:rPr>
                <w:b/>
                <w:sz w:val="24"/>
                <w:szCs w:val="24"/>
              </w:rPr>
              <w:t>“Measuring and Understanding Education Advocacy”.</w:t>
            </w:r>
            <w:r>
              <w:rPr>
                <w:sz w:val="24"/>
                <w:szCs w:val="24"/>
              </w:rPr>
              <w:t xml:space="preserve"> Th</w:t>
            </w:r>
            <w:r w:rsidR="00CC6DE0">
              <w:rPr>
                <w:sz w:val="24"/>
                <w:szCs w:val="24"/>
              </w:rPr>
              <w:t>is</w:t>
            </w:r>
            <w:r>
              <w:rPr>
                <w:sz w:val="24"/>
                <w:szCs w:val="24"/>
              </w:rPr>
              <w:t xml:space="preserve"> research evaluates if advocacy efforts have succeeded in influencing the public policy that governs education.  </w:t>
            </w:r>
          </w:p>
        </w:tc>
      </w:tr>
      <w:tr w:rsidR="00C23BAE" w:rsidTr="00C23BAE">
        <w:trPr>
          <w:trHeight w:val="25"/>
        </w:trPr>
        <w:tc>
          <w:tcPr>
            <w:tcW w:w="1638" w:type="dxa"/>
            <w:tcBorders>
              <w:top w:val="single" w:sz="4" w:space="0" w:color="auto"/>
              <w:left w:val="single" w:sz="4" w:space="0" w:color="auto"/>
              <w:bottom w:val="single" w:sz="4" w:space="0" w:color="auto"/>
              <w:right w:val="single" w:sz="4" w:space="0" w:color="auto"/>
            </w:tcBorders>
          </w:tcPr>
          <w:p w:rsidR="00C23BAE" w:rsidRPr="00044D60" w:rsidRDefault="00C23BAE" w:rsidP="00C23BAE">
            <w:pPr>
              <w:rPr>
                <w:sz w:val="24"/>
                <w:szCs w:val="24"/>
              </w:rPr>
            </w:pPr>
            <w:r w:rsidRPr="00044D60">
              <w:rPr>
                <w:sz w:val="24"/>
                <w:szCs w:val="24"/>
              </w:rPr>
              <w:t>Connection to Delaware</w:t>
            </w:r>
          </w:p>
        </w:tc>
        <w:tc>
          <w:tcPr>
            <w:tcW w:w="8247" w:type="dxa"/>
            <w:tcBorders>
              <w:top w:val="single" w:sz="4" w:space="0" w:color="auto"/>
              <w:left w:val="single" w:sz="4" w:space="0" w:color="auto"/>
              <w:bottom w:val="single" w:sz="4" w:space="0" w:color="auto"/>
              <w:right w:val="single" w:sz="4" w:space="0" w:color="auto"/>
            </w:tcBorders>
          </w:tcPr>
          <w:p w:rsidR="00C23BAE" w:rsidRPr="00044D60" w:rsidRDefault="00C23BAE" w:rsidP="00CC6DE0">
            <w:pPr>
              <w:rPr>
                <w:sz w:val="24"/>
                <w:szCs w:val="24"/>
              </w:rPr>
            </w:pPr>
            <w:r>
              <w:rPr>
                <w:sz w:val="24"/>
                <w:szCs w:val="24"/>
              </w:rPr>
              <w:t>The link below provides details on Delawa</w:t>
            </w:r>
            <w:r w:rsidR="002E599E">
              <w:rPr>
                <w:sz w:val="24"/>
                <w:szCs w:val="24"/>
              </w:rPr>
              <w:t>re State Art Education Policies. Notably</w:t>
            </w:r>
            <w:r w:rsidR="00CC6DE0">
              <w:rPr>
                <w:sz w:val="24"/>
                <w:szCs w:val="24"/>
              </w:rPr>
              <w:t>,</w:t>
            </w:r>
            <w:r w:rsidR="002E599E">
              <w:rPr>
                <w:sz w:val="24"/>
                <w:szCs w:val="24"/>
              </w:rPr>
              <w:t xml:space="preserve"> no art education surveys </w:t>
            </w:r>
            <w:r w:rsidR="00CC6DE0">
              <w:rPr>
                <w:sz w:val="24"/>
                <w:szCs w:val="24"/>
              </w:rPr>
              <w:t xml:space="preserve">have </w:t>
            </w:r>
            <w:r w:rsidR="002E599E">
              <w:rPr>
                <w:sz w:val="24"/>
                <w:szCs w:val="24"/>
              </w:rPr>
              <w:t xml:space="preserve">been conducted in </w:t>
            </w:r>
            <w:r w:rsidR="004C73D9">
              <w:rPr>
                <w:sz w:val="24"/>
                <w:szCs w:val="24"/>
              </w:rPr>
              <w:t>the state</w:t>
            </w:r>
            <w:r w:rsidR="002E599E">
              <w:rPr>
                <w:sz w:val="24"/>
                <w:szCs w:val="24"/>
              </w:rPr>
              <w:t xml:space="preserve"> </w:t>
            </w:r>
            <w:r w:rsidR="004512EF">
              <w:rPr>
                <w:sz w:val="24"/>
                <w:szCs w:val="24"/>
              </w:rPr>
              <w:t xml:space="preserve">so far </w:t>
            </w:r>
            <w:r w:rsidR="00CC6DE0">
              <w:rPr>
                <w:sz w:val="24"/>
                <w:szCs w:val="24"/>
              </w:rPr>
              <w:t>that identify</w:t>
            </w:r>
            <w:r w:rsidR="002E599E">
              <w:rPr>
                <w:sz w:val="24"/>
                <w:szCs w:val="24"/>
              </w:rPr>
              <w:t xml:space="preserve"> “actionable data”. Link: </w:t>
            </w:r>
            <w:r>
              <w:t xml:space="preserve"> </w:t>
            </w:r>
            <w:hyperlink r:id="rId9" w:history="1">
              <w:r w:rsidRPr="002D2609">
                <w:rPr>
                  <w:rStyle w:val="Hyperlink"/>
                  <w:sz w:val="20"/>
                  <w:szCs w:val="20"/>
                </w:rPr>
                <w:t>http://www.aep-arts.org/wp-content/DatabaseSupport/StatePolicyReport_SPR_PopWindow.php?pstate=delaware</w:t>
              </w:r>
            </w:hyperlink>
            <w:r>
              <w:rPr>
                <w:sz w:val="24"/>
                <w:szCs w:val="24"/>
              </w:rPr>
              <w:t xml:space="preserve"> </w:t>
            </w:r>
          </w:p>
        </w:tc>
      </w:tr>
      <w:tr w:rsidR="00C23BAE" w:rsidTr="00C23BAE">
        <w:trPr>
          <w:trHeight w:val="25"/>
        </w:trPr>
        <w:tc>
          <w:tcPr>
            <w:tcW w:w="1638" w:type="dxa"/>
            <w:tcBorders>
              <w:top w:val="single" w:sz="4" w:space="0" w:color="auto"/>
              <w:left w:val="single" w:sz="4" w:space="0" w:color="auto"/>
              <w:bottom w:val="single" w:sz="4" w:space="0" w:color="auto"/>
              <w:right w:val="single" w:sz="4" w:space="0" w:color="auto"/>
            </w:tcBorders>
          </w:tcPr>
          <w:p w:rsidR="00C23BAE" w:rsidRPr="00044D60" w:rsidRDefault="00C23BAE" w:rsidP="00C23BAE">
            <w:pPr>
              <w:rPr>
                <w:sz w:val="24"/>
                <w:szCs w:val="24"/>
              </w:rPr>
            </w:pPr>
            <w:r w:rsidRPr="00044D60">
              <w:rPr>
                <w:sz w:val="24"/>
                <w:szCs w:val="24"/>
              </w:rPr>
              <w:lastRenderedPageBreak/>
              <w:t>Next Steps</w:t>
            </w:r>
          </w:p>
        </w:tc>
        <w:tc>
          <w:tcPr>
            <w:tcW w:w="8247" w:type="dxa"/>
            <w:tcBorders>
              <w:top w:val="single" w:sz="4" w:space="0" w:color="auto"/>
              <w:left w:val="single" w:sz="4" w:space="0" w:color="auto"/>
              <w:bottom w:val="single" w:sz="4" w:space="0" w:color="auto"/>
              <w:right w:val="single" w:sz="4" w:space="0" w:color="auto"/>
            </w:tcBorders>
          </w:tcPr>
          <w:p w:rsidR="00C23BAE" w:rsidRDefault="004C73D9" w:rsidP="004C73D9">
            <w:pPr>
              <w:rPr>
                <w:sz w:val="24"/>
                <w:szCs w:val="24"/>
              </w:rPr>
            </w:pPr>
            <w:r>
              <w:rPr>
                <w:sz w:val="24"/>
                <w:szCs w:val="24"/>
              </w:rPr>
              <w:t xml:space="preserve">1) Identify Delaware’s KEY </w:t>
            </w:r>
            <w:r w:rsidR="00CC6DE0">
              <w:rPr>
                <w:sz w:val="24"/>
                <w:szCs w:val="24"/>
              </w:rPr>
              <w:t xml:space="preserve">Education </w:t>
            </w:r>
            <w:r>
              <w:rPr>
                <w:sz w:val="24"/>
                <w:szCs w:val="24"/>
              </w:rPr>
              <w:t>stakeholders</w:t>
            </w:r>
            <w:r w:rsidR="00CC6DE0">
              <w:rPr>
                <w:sz w:val="24"/>
                <w:szCs w:val="24"/>
              </w:rPr>
              <w:t>,</w:t>
            </w:r>
            <w:r>
              <w:rPr>
                <w:sz w:val="24"/>
                <w:szCs w:val="24"/>
              </w:rPr>
              <w:t xml:space="preserve"> potentially applying “Power Mapping”</w:t>
            </w:r>
            <w:r w:rsidR="00690A2F">
              <w:rPr>
                <w:sz w:val="24"/>
                <w:szCs w:val="24"/>
              </w:rPr>
              <w:t xml:space="preserve">. Alternative tools to detect Key holders should be considered. </w:t>
            </w:r>
          </w:p>
          <w:p w:rsidR="00690A2F" w:rsidRDefault="00690A2F" w:rsidP="004512EF">
            <w:pPr>
              <w:rPr>
                <w:sz w:val="24"/>
                <w:szCs w:val="24"/>
              </w:rPr>
            </w:pPr>
            <w:r>
              <w:rPr>
                <w:sz w:val="24"/>
                <w:szCs w:val="24"/>
              </w:rPr>
              <w:t xml:space="preserve">2) </w:t>
            </w:r>
            <w:r w:rsidR="004512EF">
              <w:rPr>
                <w:sz w:val="24"/>
                <w:szCs w:val="24"/>
              </w:rPr>
              <w:t xml:space="preserve">Construct an arts-education advocacy agenda including KEY stakeholders. </w:t>
            </w:r>
            <w:r>
              <w:rPr>
                <w:sz w:val="24"/>
                <w:szCs w:val="24"/>
              </w:rPr>
              <w:t>Coalition building should be a natural outcome o</w:t>
            </w:r>
            <w:r w:rsidR="00CC6DE0">
              <w:rPr>
                <w:sz w:val="24"/>
                <w:szCs w:val="24"/>
              </w:rPr>
              <w:t>f</w:t>
            </w:r>
            <w:r>
              <w:rPr>
                <w:sz w:val="24"/>
                <w:szCs w:val="24"/>
              </w:rPr>
              <w:t xml:space="preserve"> this phase. </w:t>
            </w:r>
          </w:p>
          <w:p w:rsidR="004C73D9" w:rsidRPr="00044D60" w:rsidRDefault="00690A2F" w:rsidP="001A459E">
            <w:pPr>
              <w:rPr>
                <w:sz w:val="24"/>
                <w:szCs w:val="24"/>
              </w:rPr>
            </w:pPr>
            <w:r>
              <w:rPr>
                <w:sz w:val="24"/>
                <w:szCs w:val="24"/>
              </w:rPr>
              <w:t xml:space="preserve">3) </w:t>
            </w:r>
            <w:r w:rsidR="004512EF">
              <w:rPr>
                <w:sz w:val="24"/>
                <w:szCs w:val="24"/>
              </w:rPr>
              <w:t xml:space="preserve">Defining measurable advocacy outcomes </w:t>
            </w:r>
            <w:r w:rsidR="001A459E">
              <w:rPr>
                <w:sz w:val="24"/>
                <w:szCs w:val="24"/>
              </w:rPr>
              <w:t>is</w:t>
            </w:r>
            <w:r w:rsidR="004512EF">
              <w:rPr>
                <w:sz w:val="24"/>
                <w:szCs w:val="24"/>
              </w:rPr>
              <w:t xml:space="preserve"> pivotal </w:t>
            </w:r>
            <w:r w:rsidR="001A459E">
              <w:rPr>
                <w:sz w:val="24"/>
                <w:szCs w:val="24"/>
              </w:rPr>
              <w:t xml:space="preserve">for </w:t>
            </w:r>
            <w:r w:rsidR="004512EF">
              <w:rPr>
                <w:sz w:val="24"/>
                <w:szCs w:val="24"/>
              </w:rPr>
              <w:t xml:space="preserve">arts advocates </w:t>
            </w:r>
            <w:r>
              <w:rPr>
                <w:sz w:val="24"/>
                <w:szCs w:val="24"/>
              </w:rPr>
              <w:t>led by DAA</w:t>
            </w:r>
            <w:r w:rsidR="001A459E">
              <w:rPr>
                <w:sz w:val="24"/>
                <w:szCs w:val="24"/>
              </w:rPr>
              <w:t>. As a consequence, we will achieve</w:t>
            </w:r>
            <w:r w:rsidR="004512EF">
              <w:rPr>
                <w:sz w:val="24"/>
                <w:szCs w:val="24"/>
              </w:rPr>
              <w:t xml:space="preserve"> increasing level</w:t>
            </w:r>
            <w:r w:rsidR="001A459E">
              <w:rPr>
                <w:sz w:val="24"/>
                <w:szCs w:val="24"/>
              </w:rPr>
              <w:t>s</w:t>
            </w:r>
            <w:r w:rsidR="004512EF">
              <w:rPr>
                <w:sz w:val="24"/>
                <w:szCs w:val="24"/>
              </w:rPr>
              <w:t xml:space="preserve"> of influence to instill policy </w:t>
            </w:r>
            <w:r>
              <w:rPr>
                <w:sz w:val="24"/>
                <w:szCs w:val="24"/>
              </w:rPr>
              <w:t>change</w:t>
            </w:r>
            <w:r w:rsidR="004512EF">
              <w:rPr>
                <w:sz w:val="24"/>
                <w:szCs w:val="24"/>
              </w:rPr>
              <w:t xml:space="preserve">. </w:t>
            </w:r>
            <w:bookmarkStart w:id="0" w:name="_GoBack"/>
            <w:bookmarkEnd w:id="0"/>
          </w:p>
        </w:tc>
      </w:tr>
    </w:tbl>
    <w:p w:rsidR="00C23BAE" w:rsidRDefault="00C23BAE" w:rsidP="00C23BAE">
      <w:pPr>
        <w:spacing w:after="0"/>
      </w:pPr>
    </w:p>
    <w:sectPr w:rsidR="00C23BAE" w:rsidSect="00B12CD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ABE" w:rsidRDefault="00554ABE" w:rsidP="00AE28CD">
      <w:pPr>
        <w:spacing w:after="0" w:line="240" w:lineRule="auto"/>
      </w:pPr>
      <w:r>
        <w:separator/>
      </w:r>
    </w:p>
  </w:endnote>
  <w:endnote w:type="continuationSeparator" w:id="0">
    <w:p w:rsidR="00554ABE" w:rsidRDefault="00554ABE" w:rsidP="00AE2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ABE" w:rsidRDefault="00554ABE" w:rsidP="00AE28CD">
      <w:pPr>
        <w:spacing w:after="0" w:line="240" w:lineRule="auto"/>
      </w:pPr>
      <w:r>
        <w:separator/>
      </w:r>
    </w:p>
  </w:footnote>
  <w:footnote w:type="continuationSeparator" w:id="0">
    <w:p w:rsidR="00554ABE" w:rsidRDefault="00554ABE" w:rsidP="00AE28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F68F3"/>
    <w:multiLevelType w:val="hybridMultilevel"/>
    <w:tmpl w:val="81C25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8CD"/>
    <w:rsid w:val="00035773"/>
    <w:rsid w:val="00044D60"/>
    <w:rsid w:val="000944D0"/>
    <w:rsid w:val="000D7676"/>
    <w:rsid w:val="00121FBD"/>
    <w:rsid w:val="001671C6"/>
    <w:rsid w:val="001A459E"/>
    <w:rsid w:val="001B08C3"/>
    <w:rsid w:val="00216140"/>
    <w:rsid w:val="002D2609"/>
    <w:rsid w:val="002E4323"/>
    <w:rsid w:val="002E599E"/>
    <w:rsid w:val="0032601E"/>
    <w:rsid w:val="0035457C"/>
    <w:rsid w:val="00427B5A"/>
    <w:rsid w:val="004512EF"/>
    <w:rsid w:val="004B0A31"/>
    <w:rsid w:val="004C73D9"/>
    <w:rsid w:val="00541B6E"/>
    <w:rsid w:val="00541D76"/>
    <w:rsid w:val="00554ABE"/>
    <w:rsid w:val="005E1C51"/>
    <w:rsid w:val="00627EEE"/>
    <w:rsid w:val="00690A2F"/>
    <w:rsid w:val="006B598C"/>
    <w:rsid w:val="007A7249"/>
    <w:rsid w:val="00897673"/>
    <w:rsid w:val="00A861A1"/>
    <w:rsid w:val="00AD0697"/>
    <w:rsid w:val="00AE28CD"/>
    <w:rsid w:val="00B02993"/>
    <w:rsid w:val="00B12CDD"/>
    <w:rsid w:val="00C23BAE"/>
    <w:rsid w:val="00CB3A03"/>
    <w:rsid w:val="00CC6DE0"/>
    <w:rsid w:val="00CD0A57"/>
    <w:rsid w:val="00D31796"/>
    <w:rsid w:val="00E44A0E"/>
    <w:rsid w:val="00F06ADD"/>
    <w:rsid w:val="00F52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2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E28C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E28C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
    <w:name w:val="Medium List 2"/>
    <w:basedOn w:val="TableNormal"/>
    <w:uiPriority w:val="66"/>
    <w:rsid w:val="00AE28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AE28C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BalloonText">
    <w:name w:val="Balloon Text"/>
    <w:basedOn w:val="Normal"/>
    <w:link w:val="BalloonTextChar"/>
    <w:uiPriority w:val="99"/>
    <w:semiHidden/>
    <w:unhideWhenUsed/>
    <w:rsid w:val="00AE2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8CD"/>
    <w:rPr>
      <w:rFonts w:ascii="Tahoma" w:hAnsi="Tahoma" w:cs="Tahoma"/>
      <w:sz w:val="16"/>
      <w:szCs w:val="16"/>
    </w:rPr>
  </w:style>
  <w:style w:type="paragraph" w:styleId="Header">
    <w:name w:val="header"/>
    <w:basedOn w:val="Normal"/>
    <w:link w:val="HeaderChar"/>
    <w:uiPriority w:val="99"/>
    <w:unhideWhenUsed/>
    <w:rsid w:val="00AE2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8CD"/>
  </w:style>
  <w:style w:type="paragraph" w:styleId="Footer">
    <w:name w:val="footer"/>
    <w:basedOn w:val="Normal"/>
    <w:link w:val="FooterChar"/>
    <w:uiPriority w:val="99"/>
    <w:unhideWhenUsed/>
    <w:rsid w:val="00AE2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8CD"/>
  </w:style>
  <w:style w:type="character" w:styleId="Hyperlink">
    <w:name w:val="Hyperlink"/>
    <w:basedOn w:val="DefaultParagraphFont"/>
    <w:uiPriority w:val="99"/>
    <w:unhideWhenUsed/>
    <w:rsid w:val="002D2609"/>
    <w:rPr>
      <w:color w:val="0000FF" w:themeColor="hyperlink"/>
      <w:u w:val="single"/>
    </w:rPr>
  </w:style>
  <w:style w:type="paragraph" w:styleId="ListParagraph">
    <w:name w:val="List Paragraph"/>
    <w:basedOn w:val="Normal"/>
    <w:uiPriority w:val="34"/>
    <w:qFormat/>
    <w:rsid w:val="006B59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2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E28C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E28C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
    <w:name w:val="Medium List 2"/>
    <w:basedOn w:val="TableNormal"/>
    <w:uiPriority w:val="66"/>
    <w:rsid w:val="00AE28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AE28C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BalloonText">
    <w:name w:val="Balloon Text"/>
    <w:basedOn w:val="Normal"/>
    <w:link w:val="BalloonTextChar"/>
    <w:uiPriority w:val="99"/>
    <w:semiHidden/>
    <w:unhideWhenUsed/>
    <w:rsid w:val="00AE2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8CD"/>
    <w:rPr>
      <w:rFonts w:ascii="Tahoma" w:hAnsi="Tahoma" w:cs="Tahoma"/>
      <w:sz w:val="16"/>
      <w:szCs w:val="16"/>
    </w:rPr>
  </w:style>
  <w:style w:type="paragraph" w:styleId="Header">
    <w:name w:val="header"/>
    <w:basedOn w:val="Normal"/>
    <w:link w:val="HeaderChar"/>
    <w:uiPriority w:val="99"/>
    <w:unhideWhenUsed/>
    <w:rsid w:val="00AE2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8CD"/>
  </w:style>
  <w:style w:type="paragraph" w:styleId="Footer">
    <w:name w:val="footer"/>
    <w:basedOn w:val="Normal"/>
    <w:link w:val="FooterChar"/>
    <w:uiPriority w:val="99"/>
    <w:unhideWhenUsed/>
    <w:rsid w:val="00AE2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8CD"/>
  </w:style>
  <w:style w:type="character" w:styleId="Hyperlink">
    <w:name w:val="Hyperlink"/>
    <w:basedOn w:val="DefaultParagraphFont"/>
    <w:uiPriority w:val="99"/>
    <w:unhideWhenUsed/>
    <w:rsid w:val="002D2609"/>
    <w:rPr>
      <w:color w:val="0000FF" w:themeColor="hyperlink"/>
      <w:u w:val="single"/>
    </w:rPr>
  </w:style>
  <w:style w:type="paragraph" w:styleId="ListParagraph">
    <w:name w:val="List Paragraph"/>
    <w:basedOn w:val="Normal"/>
    <w:uiPriority w:val="34"/>
    <w:qFormat/>
    <w:rsid w:val="006B5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ep-arts.org/wp-content/DatabaseSupport/StatePolicyReport_SPR_PopWindow.php?pstate=dela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Guillermina</dc:creator>
  <cp:lastModifiedBy>Nivea Mercado</cp:lastModifiedBy>
  <cp:revision>3</cp:revision>
  <cp:lastPrinted>2015-04-06T15:35:00Z</cp:lastPrinted>
  <dcterms:created xsi:type="dcterms:W3CDTF">2015-04-06T15:34:00Z</dcterms:created>
  <dcterms:modified xsi:type="dcterms:W3CDTF">2015-04-06T15:41:00Z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